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bottom w:color="c4c4c4" w:space="7" w:sz="5" w:val="single"/>
        </w:pBdr>
        <w:shd w:fill="ffffff" w:val="clear"/>
        <w:spacing w:after="160" w:before="0" w:line="415.05882352941177" w:lineRule="auto"/>
        <w:rPr>
          <w:rFonts w:ascii="Roboto" w:cs="Roboto" w:eastAsia="Roboto" w:hAnsi="Roboto"/>
          <w:b w:val="1"/>
          <w:color w:val="17257e"/>
          <w:sz w:val="42"/>
          <w:szCs w:val="42"/>
        </w:rPr>
      </w:pPr>
      <w:bookmarkStart w:colFirst="0" w:colLast="0" w:name="_it718px38bjy" w:id="0"/>
      <w:bookmarkEnd w:id="0"/>
      <w:r w:rsidDel="00000000" w:rsidR="00000000" w:rsidRPr="00000000">
        <w:rPr>
          <w:rFonts w:ascii="Roboto" w:cs="Roboto" w:eastAsia="Roboto" w:hAnsi="Roboto"/>
          <w:b w:val="1"/>
          <w:color w:val="17257e"/>
          <w:sz w:val="42"/>
          <w:szCs w:val="42"/>
          <w:rtl w:val="0"/>
        </w:rPr>
        <w:t xml:space="preserve">Nghiên cứu về Cộng đồng Kinh tế ASEAN (AEC) hậu 2025: Hướng tới Cộng đồng Kinh tế ASEAN (AEC) năm 2045: Các lựa chọn và tiềm năng cho Cộng đồng Kinh tế ASEAN (AEC) năm 2045</w:t>
      </w:r>
    </w:p>
    <w:p w:rsidR="00000000" w:rsidDel="00000000" w:rsidP="00000000" w:rsidRDefault="00000000" w:rsidRPr="00000000" w14:paraId="00000002">
      <w:pPr>
        <w:shd w:fill="ffffff" w:val="clear"/>
        <w:spacing w:after="160" w:line="360" w:lineRule="auto"/>
        <w:jc w:val="both"/>
        <w:rPr>
          <w:sz w:val="27"/>
          <w:szCs w:val="27"/>
        </w:rPr>
      </w:pPr>
      <w:r w:rsidDel="00000000" w:rsidR="00000000" w:rsidRPr="00000000">
        <w:rPr>
          <w:sz w:val="27"/>
          <w:szCs w:val="27"/>
          <w:rtl w:val="0"/>
        </w:rPr>
        <w:t xml:space="preserve">Tài liệu: Nghiên cứu về Cộng đồng Kinh tế ASEAN (AEC) hậu 2025: Hướng tới Cộng đồng Kinh tế ASEAN (AEC) năm 2045: Các lựa chọn và tiềm năng cho Cộng đồng Kinh tế ASEAN (AEC) năm 2045</w:t>
      </w:r>
    </w:p>
    <w:p w:rsidR="00000000" w:rsidDel="00000000" w:rsidP="00000000" w:rsidRDefault="00000000" w:rsidRPr="00000000" w14:paraId="00000003">
      <w:pPr>
        <w:shd w:fill="ffffff" w:val="clear"/>
        <w:spacing w:after="160" w:line="360" w:lineRule="auto"/>
        <w:jc w:val="both"/>
        <w:rPr>
          <w:sz w:val="27"/>
          <w:szCs w:val="27"/>
        </w:rPr>
      </w:pPr>
      <w:r w:rsidDel="00000000" w:rsidR="00000000" w:rsidRPr="00000000">
        <w:rPr>
          <w:sz w:val="27"/>
          <w:szCs w:val="27"/>
          <w:rtl w:val="0"/>
        </w:rPr>
        <w:t xml:space="preserve">Thời gian: 11/2024</w:t>
      </w:r>
    </w:p>
    <w:p w:rsidR="00000000" w:rsidDel="00000000" w:rsidP="00000000" w:rsidRDefault="00000000" w:rsidRPr="00000000" w14:paraId="00000004">
      <w:pPr>
        <w:shd w:fill="ffffff" w:val="clear"/>
        <w:spacing w:after="160" w:line="360" w:lineRule="auto"/>
        <w:jc w:val="both"/>
        <w:rPr>
          <w:sz w:val="27"/>
          <w:szCs w:val="27"/>
        </w:rPr>
      </w:pPr>
      <w:r w:rsidDel="00000000" w:rsidR="00000000" w:rsidRPr="00000000">
        <w:rPr>
          <w:sz w:val="27"/>
          <w:szCs w:val="27"/>
          <w:rtl w:val="0"/>
        </w:rPr>
        <w:t xml:space="preserve">Đơn vị dịch thuật: Vụ Chính sách thương mại đa biên, Bộ Công Thương</w:t>
      </w:r>
    </w:p>
    <w:p w:rsidR="00000000" w:rsidDel="00000000" w:rsidP="00000000" w:rsidRDefault="00000000" w:rsidRPr="00000000" w14:paraId="00000005">
      <w:pPr>
        <w:shd w:fill="ffffff" w:val="clear"/>
        <w:spacing w:after="160" w:line="360" w:lineRule="auto"/>
        <w:jc w:val="both"/>
        <w:rPr>
          <w:sz w:val="27"/>
          <w:szCs w:val="27"/>
        </w:rPr>
      </w:pPr>
      <w:r w:rsidDel="00000000" w:rsidR="00000000" w:rsidRPr="00000000">
        <w:rPr>
          <w:sz w:val="27"/>
          <w:szCs w:val="27"/>
          <w:rtl w:val="0"/>
        </w:rPr>
        <w:t xml:space="preserve">Trong 10 năm qua, ASEAN đã đạt được những tiến bộ đáng kể, thúc đẩy tăng trưởng thông qua hợp tác và hội nhập. Trong Kế hoạch Tổng thể Cộng đồng Kinh tế ASEAN 2025, ASEAN đã tập trung vào 5 đặc điểm chính, qua đó thúc đẩy sự thịnh vượng kinh tế trong khu vực:</w:t>
      </w:r>
    </w:p>
    <w:p w:rsidR="00000000" w:rsidDel="00000000" w:rsidP="00000000" w:rsidRDefault="00000000" w:rsidRPr="00000000" w14:paraId="00000006">
      <w:pPr>
        <w:numPr>
          <w:ilvl w:val="0"/>
          <w:numId w:val="1"/>
        </w:numPr>
        <w:shd w:fill="ffffff" w:val="clear"/>
        <w:spacing w:after="0" w:afterAutospacing="0" w:lineRule="auto"/>
        <w:ind w:left="720" w:right="380" w:hanging="360"/>
        <w:jc w:val="both"/>
      </w:pPr>
      <w:r w:rsidDel="00000000" w:rsidR="00000000" w:rsidRPr="00000000">
        <w:rPr>
          <w:sz w:val="27"/>
          <w:szCs w:val="27"/>
          <w:rtl w:val="0"/>
        </w:rPr>
        <w:t xml:space="preserve">Một nền kinh tế được hội nhập và gắn kết cao</w:t>
      </w:r>
    </w:p>
    <w:p w:rsidR="00000000" w:rsidDel="00000000" w:rsidP="00000000" w:rsidRDefault="00000000" w:rsidRPr="00000000" w14:paraId="00000007">
      <w:pPr>
        <w:numPr>
          <w:ilvl w:val="0"/>
          <w:numId w:val="1"/>
        </w:numPr>
        <w:shd w:fill="ffffff" w:val="clear"/>
        <w:spacing w:after="0" w:afterAutospacing="0" w:lineRule="auto"/>
        <w:ind w:left="720" w:right="380" w:hanging="360"/>
        <w:jc w:val="both"/>
      </w:pPr>
      <w:r w:rsidDel="00000000" w:rsidR="00000000" w:rsidRPr="00000000">
        <w:rPr>
          <w:sz w:val="27"/>
          <w:szCs w:val="27"/>
          <w:rtl w:val="0"/>
        </w:rPr>
        <w:t xml:space="preserve">Một ASEAN cạnh tranh, đổi mới và năng động</w:t>
      </w:r>
    </w:p>
    <w:p w:rsidR="00000000" w:rsidDel="00000000" w:rsidP="00000000" w:rsidRDefault="00000000" w:rsidRPr="00000000" w14:paraId="00000008">
      <w:pPr>
        <w:numPr>
          <w:ilvl w:val="0"/>
          <w:numId w:val="1"/>
        </w:numPr>
        <w:shd w:fill="ffffff" w:val="clear"/>
        <w:spacing w:after="0" w:afterAutospacing="0" w:lineRule="auto"/>
        <w:ind w:left="720" w:right="380" w:hanging="360"/>
        <w:jc w:val="both"/>
      </w:pPr>
      <w:r w:rsidDel="00000000" w:rsidR="00000000" w:rsidRPr="00000000">
        <w:rPr>
          <w:sz w:val="27"/>
          <w:szCs w:val="27"/>
          <w:rtl w:val="0"/>
        </w:rPr>
        <w:t xml:space="preserve">Tăng cường kết nối và hợp tác theo từng lĩnh vực</w:t>
      </w:r>
    </w:p>
    <w:p w:rsidR="00000000" w:rsidDel="00000000" w:rsidP="00000000" w:rsidRDefault="00000000" w:rsidRPr="00000000" w14:paraId="00000009">
      <w:pPr>
        <w:numPr>
          <w:ilvl w:val="0"/>
          <w:numId w:val="1"/>
        </w:numPr>
        <w:shd w:fill="ffffff" w:val="clear"/>
        <w:spacing w:after="0" w:afterAutospacing="0" w:lineRule="auto"/>
        <w:ind w:left="720" w:right="380" w:hanging="360"/>
        <w:jc w:val="both"/>
      </w:pPr>
      <w:r w:rsidDel="00000000" w:rsidR="00000000" w:rsidRPr="00000000">
        <w:rPr>
          <w:sz w:val="27"/>
          <w:szCs w:val="27"/>
          <w:rtl w:val="0"/>
        </w:rPr>
        <w:t xml:space="preserve">Một ASEAN kiên cường, bao trùm, lấy người dân làm trung tâm và định hướng theo con người</w:t>
      </w:r>
    </w:p>
    <w:p w:rsidR="00000000" w:rsidDel="00000000" w:rsidP="00000000" w:rsidRDefault="00000000" w:rsidRPr="00000000" w14:paraId="0000000A">
      <w:pPr>
        <w:numPr>
          <w:ilvl w:val="0"/>
          <w:numId w:val="1"/>
        </w:numPr>
        <w:shd w:fill="ffffff" w:val="clear"/>
        <w:spacing w:after="160" w:lineRule="auto"/>
        <w:ind w:left="720" w:right="380" w:hanging="360"/>
        <w:jc w:val="both"/>
      </w:pPr>
      <w:r w:rsidDel="00000000" w:rsidR="00000000" w:rsidRPr="00000000">
        <w:rPr>
          <w:sz w:val="27"/>
          <w:szCs w:val="27"/>
          <w:rtl w:val="0"/>
        </w:rPr>
        <w:t xml:space="preserve">Một ASEAN mang tầm toàn cầu</w:t>
      </w:r>
    </w:p>
    <w:p w:rsidR="00000000" w:rsidDel="00000000" w:rsidP="00000000" w:rsidRDefault="00000000" w:rsidRPr="00000000" w14:paraId="0000000B">
      <w:pPr>
        <w:shd w:fill="ffffff" w:val="clear"/>
        <w:spacing w:after="160" w:line="360" w:lineRule="auto"/>
        <w:jc w:val="both"/>
        <w:rPr>
          <w:sz w:val="27"/>
          <w:szCs w:val="27"/>
        </w:rPr>
      </w:pPr>
      <w:r w:rsidDel="00000000" w:rsidR="00000000" w:rsidRPr="00000000">
        <w:rPr>
          <w:sz w:val="27"/>
          <w:szCs w:val="27"/>
          <w:rtl w:val="0"/>
        </w:rPr>
        <w:t xml:space="preserve">Tuy nhiên, vẫn còn nhiều cơ hội để ASEAN nâng cao và xây dựng giai đoạn tăng trưởng tiếp theo trong những thập kỷ tới. Vì vậy, Cộng đồng Kinh tế ASEAN (AEC) đã thực hiện nghiên cứu này để đánh giá triển vọng của các thành phần kinh tế trong Tầm nhìn Cộng đồng ASEAN 2045, với mục tiêu đạt được một cộng đồng hành động, bền vững, năng động, thích nghi, linh hoạt và bao trùm trong hai thập kỷ tới. Nghiên cứu này sẽ là một trong những tài liệu tham khảo để xác định các ưu tiên chính trong Kế hoạch Chiến lược và Kế hoạch theo lĩnh vực của AEC.</w:t>
      </w:r>
    </w:p>
    <w:p w:rsidR="00000000" w:rsidDel="00000000" w:rsidP="00000000" w:rsidRDefault="00000000" w:rsidRPr="00000000" w14:paraId="0000000C">
      <w:pPr>
        <w:rPr/>
      </w:pPr>
      <w:r w:rsidDel="00000000" w:rsidR="00000000" w:rsidRPr="00000000">
        <w:rPr/>
        <w:drawing>
          <wp:inline distB="114300" distT="114300" distL="114300" distR="114300">
            <wp:extent cx="5731200" cy="3822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